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BE" w:rsidRDefault="006F12BE" w:rsidP="006F12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ნიკას დავალებები:</w:t>
      </w:r>
    </w:p>
    <w:p w:rsidR="006F12BE" w:rsidRPr="000C08D7" w:rsidRDefault="006F12BE" w:rsidP="006F12B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0B050"/>
          <w:lang w:val="ka-GE"/>
        </w:rPr>
      </w:pPr>
      <w:r w:rsidRPr="007154AD">
        <w:rPr>
          <w:rFonts w:ascii="Sylfaen" w:hAnsi="Sylfaen"/>
          <w:color w:val="00B050"/>
          <w:lang w:val="ka-GE"/>
        </w:rPr>
        <w:t xml:space="preserve">ბიუჯეტის კორექციის ბრძანებები გაყოფილი უნდა იყოს განმახორციელებლების მიხედვით (სახელმწიფო პროგრამები -&gt; ბიუჯეტის კორექციის ბრძანებები) </w:t>
      </w:r>
      <w:r w:rsidRPr="007154AD">
        <w:rPr>
          <w:rFonts w:ascii="Sylfaen" w:hAnsi="Sylfaen"/>
          <w:b/>
          <w:bCs/>
          <w:color w:val="00B050"/>
        </w:rPr>
        <w:t>[4]</w:t>
      </w:r>
    </w:p>
    <w:p w:rsidR="006F12BE" w:rsidRPr="000C08D7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0C08D7">
        <w:rPr>
          <w:rFonts w:ascii="Sylfaen" w:hAnsi="Sylfaen"/>
          <w:color w:val="00B050"/>
          <w:lang w:val="ka-GE"/>
        </w:rPr>
        <w:t>ხაზინა</w:t>
      </w:r>
      <w:r w:rsidRPr="000C08D7">
        <w:rPr>
          <w:color w:val="00B050"/>
          <w:lang w:val="ka-GE"/>
        </w:rPr>
        <w:t> </w:t>
      </w:r>
      <w:r w:rsidRPr="000C08D7">
        <w:rPr>
          <w:rFonts w:ascii="Sylfaen" w:hAnsi="Sylfaen"/>
          <w:noProof/>
          <w:color w:val="00B050"/>
          <w:lang w:eastAsia="ru-RU"/>
        </w:rPr>
        <w:drawing>
          <wp:inline distT="0" distB="0" distL="0" distR="0" wp14:anchorId="6D316F03" wp14:editId="1C7CAF11">
            <wp:extent cx="151130" cy="103505"/>
            <wp:effectExtent l="0" t="0" r="1270" b="0"/>
            <wp:docPr id="12" name="Рисунок 12" descr="http://localhost/Hmis.Billing.Web/App_Themes/default/images/program_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hContent_image" descr="http://localhost/Hmis.Billing.Web/App_Themes/default/images/program_icon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8D7">
        <w:rPr>
          <w:color w:val="00B050"/>
          <w:lang w:val="ka-GE"/>
        </w:rPr>
        <w:t> </w:t>
      </w:r>
      <w:r w:rsidRPr="000C08D7">
        <w:rPr>
          <w:rFonts w:ascii="Sylfaen" w:hAnsi="Sylfaen"/>
          <w:color w:val="00B050"/>
          <w:lang w:val="ka-GE"/>
        </w:rPr>
        <w:t>ხელშეკრულებები</w:t>
      </w:r>
    </w:p>
    <w:p w:rsidR="006F12BE" w:rsidRPr="000C08D7" w:rsidRDefault="006F12BE" w:rsidP="006F12BE">
      <w:pPr>
        <w:pStyle w:val="a3"/>
        <w:rPr>
          <w:rFonts w:ascii="Sylfaen" w:hAnsi="Sylfaen"/>
          <w:color w:val="00B050"/>
          <w:lang w:val="ka-GE"/>
        </w:rPr>
      </w:pP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0C08D7">
        <w:rPr>
          <w:rFonts w:ascii="Sylfaen" w:hAnsi="Sylfaen"/>
          <w:color w:val="00B050"/>
          <w:lang w:val="ka-GE"/>
        </w:rPr>
        <w:t>ხაზინა</w:t>
      </w:r>
      <w:r w:rsidRPr="000C08D7">
        <w:rPr>
          <w:color w:val="00B050"/>
          <w:lang w:val="ka-GE"/>
        </w:rPr>
        <w:t> </w:t>
      </w:r>
      <w:r w:rsidRPr="000C08D7">
        <w:rPr>
          <w:rFonts w:ascii="Sylfaen" w:hAnsi="Sylfaen"/>
          <w:noProof/>
          <w:color w:val="00B050"/>
          <w:lang w:eastAsia="ru-RU"/>
        </w:rPr>
        <w:drawing>
          <wp:inline distT="0" distB="0" distL="0" distR="0" wp14:anchorId="4335FE19" wp14:editId="0961E2BF">
            <wp:extent cx="155575" cy="103505"/>
            <wp:effectExtent l="0" t="0" r="0" b="0"/>
            <wp:docPr id="13" name="Рисунок 13" descr="http://localhost/Hmis.Billing.Web/App_Themes/default/images/program_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hContent_image" descr="http://localhost/Hmis.Billing.Web/App_Themes/default/images/program_icon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8D7">
        <w:rPr>
          <w:color w:val="00B050"/>
          <w:lang w:val="ka-GE"/>
        </w:rPr>
        <w:t> </w:t>
      </w:r>
      <w:r w:rsidRPr="000C08D7">
        <w:rPr>
          <w:rFonts w:ascii="Sylfaen" w:hAnsi="Sylfaen"/>
          <w:color w:val="00B050"/>
          <w:lang w:val="ka-GE"/>
        </w:rPr>
        <w:t>საგადახდო მოთხოვნები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0C08D7">
        <w:rPr>
          <w:rFonts w:ascii="Sylfaen" w:hAnsi="Sylfaen"/>
          <w:color w:val="00B050"/>
          <w:lang w:val="ka-GE"/>
        </w:rPr>
        <w:t>ლიმიტები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Pr="00FF328C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FF328C">
        <w:rPr>
          <w:rFonts w:ascii="Sylfaen" w:hAnsi="Sylfaen"/>
          <w:color w:val="00B050"/>
          <w:lang w:val="ka-GE"/>
        </w:rPr>
        <w:t>ლიმიტების რედაქტირება</w:t>
      </w:r>
    </w:p>
    <w:p w:rsidR="006F12BE" w:rsidRPr="00FF328C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FF328C">
        <w:rPr>
          <w:rFonts w:ascii="Sylfaen" w:hAnsi="Sylfaen"/>
          <w:color w:val="00B050"/>
          <w:lang w:val="ka-GE"/>
        </w:rPr>
        <w:t>ცნობარები</w:t>
      </w:r>
      <w:r w:rsidRPr="00FF328C">
        <w:rPr>
          <w:color w:val="00B050"/>
          <w:lang w:val="ka-GE"/>
        </w:rPr>
        <w:t> </w:t>
      </w:r>
      <w:r w:rsidRPr="00FF328C">
        <w:rPr>
          <w:rFonts w:ascii="Sylfaen" w:hAnsi="Sylfaen"/>
          <w:noProof/>
          <w:color w:val="00B050"/>
          <w:lang w:eastAsia="ru-RU"/>
        </w:rPr>
        <w:drawing>
          <wp:inline distT="0" distB="0" distL="0" distR="0" wp14:anchorId="6571717E" wp14:editId="4C1BE8D5">
            <wp:extent cx="155575" cy="103505"/>
            <wp:effectExtent l="0" t="0" r="0" b="0"/>
            <wp:docPr id="14" name="Рисунок 14" descr="http://localhost/Hmis.Billing.Web/App_Themes/default/images/program_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hContent_image" descr="http://localhost/Hmis.Billing.Web/App_Themes/default/images/program_icon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328C">
        <w:rPr>
          <w:color w:val="00B050"/>
          <w:lang w:val="ka-GE"/>
        </w:rPr>
        <w:t> </w:t>
      </w:r>
      <w:r w:rsidRPr="00FF328C">
        <w:rPr>
          <w:rFonts w:ascii="Sylfaen" w:hAnsi="Sylfaen"/>
          <w:color w:val="00B050"/>
          <w:lang w:val="ka-GE"/>
        </w:rPr>
        <w:t>სატარიფო ზონები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CD42BD">
        <w:rPr>
          <w:rFonts w:ascii="Sylfaen" w:hAnsi="Sylfaen"/>
          <w:color w:val="00B050"/>
          <w:lang w:val="ka-GE"/>
        </w:rPr>
        <w:t>ცნობარები</w:t>
      </w:r>
      <w:r w:rsidRPr="00CD42BD">
        <w:rPr>
          <w:color w:val="00B050"/>
          <w:lang w:val="ka-GE"/>
        </w:rPr>
        <w:t> </w:t>
      </w:r>
      <w:r w:rsidRPr="00CD42BD">
        <w:rPr>
          <w:rFonts w:ascii="Sylfaen" w:hAnsi="Sylfaen"/>
          <w:noProof/>
          <w:color w:val="00B050"/>
          <w:lang w:eastAsia="ru-RU"/>
        </w:rPr>
        <w:drawing>
          <wp:inline distT="0" distB="0" distL="0" distR="0" wp14:anchorId="2F1DCF21" wp14:editId="259FF191">
            <wp:extent cx="151130" cy="103505"/>
            <wp:effectExtent l="0" t="0" r="1270" b="0"/>
            <wp:docPr id="15" name="Рисунок 15" descr="http://localhost/Hmis.Billing.Web/App_Themes/default/images/program_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hContent_image" descr="http://localhost/Hmis.Billing.Web/App_Themes/default/images/program_icon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2BD">
        <w:rPr>
          <w:color w:val="00B050"/>
          <w:lang w:val="ka-GE"/>
        </w:rPr>
        <w:t> </w:t>
      </w:r>
      <w:r w:rsidRPr="00CD42BD">
        <w:rPr>
          <w:rFonts w:ascii="Sylfaen" w:hAnsi="Sylfaen"/>
          <w:color w:val="00B050"/>
          <w:lang w:val="ka-GE"/>
        </w:rPr>
        <w:t>ნოზოლოგიები</w:t>
      </w:r>
    </w:p>
    <w:p w:rsidR="006F12BE" w:rsidRPr="007154AD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Default="006F12BE" w:rsidP="006F12BE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ფილტრია მოსახსნელი</w:t>
      </w:r>
    </w:p>
    <w:p w:rsidR="006F12BE" w:rsidRDefault="006F12BE" w:rsidP="006F12BE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noProof/>
          <w:color w:val="FF0000"/>
          <w:lang w:eastAsia="ru-RU"/>
        </w:rPr>
        <w:drawing>
          <wp:inline distT="0" distB="0" distL="0" distR="0" wp14:anchorId="46C5BD77" wp14:editId="2B024CD5">
            <wp:extent cx="3164620" cy="2015112"/>
            <wp:effectExtent l="0" t="0" r="0" b="4445"/>
            <wp:docPr id="6" name="Рисунок 6" descr="C:\Users\User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p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25" cy="201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BE" w:rsidRDefault="006F12BE" w:rsidP="006F12BE">
      <w:pPr>
        <w:rPr>
          <w:rFonts w:ascii="Sylfaen" w:hAnsi="Sylfaen"/>
          <w:color w:val="FF0000"/>
          <w:lang w:val="ka-GE"/>
        </w:rPr>
      </w:pPr>
    </w:p>
    <w:p w:rsidR="006F12BE" w:rsidRDefault="006F12BE" w:rsidP="006F12BE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0B050"/>
          <w:lang w:val="ka-GE"/>
        </w:rPr>
      </w:pPr>
      <w:r w:rsidRPr="007154AD">
        <w:rPr>
          <w:rFonts w:ascii="Sylfaen" w:hAnsi="Sylfaen"/>
          <w:color w:val="00B050"/>
          <w:lang w:val="ka-GE"/>
        </w:rPr>
        <w:t xml:space="preserve">მიღება-ჩაბარების აქტები გაყოფილი უნდა იყოს განმახორციელებლების მიხედვით </w:t>
      </w:r>
      <w:r w:rsidRPr="007154AD">
        <w:rPr>
          <w:rFonts w:ascii="Sylfaen" w:hAnsi="Sylfaen"/>
          <w:b/>
          <w:bCs/>
          <w:color w:val="00B050"/>
        </w:rPr>
        <w:t xml:space="preserve">[6] </w:t>
      </w:r>
      <w:r w:rsidRPr="007154AD">
        <w:rPr>
          <w:rFonts w:ascii="Sylfaen" w:hAnsi="Sylfaen"/>
          <w:color w:val="00B050"/>
          <w:lang w:val="ka-GE"/>
        </w:rPr>
        <w:t>ცხრილი - BL_AcceptanceAct</w:t>
      </w:r>
      <w:r>
        <w:rPr>
          <w:rFonts w:ascii="Sylfaen" w:hAnsi="Sylfaen"/>
          <w:color w:val="00B050"/>
          <w:lang w:val="ka-GE"/>
        </w:rPr>
        <w:t xml:space="preserve"> 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>
        <w:rPr>
          <w:rFonts w:ascii="Sylfaen" w:hAnsi="Sylfaen"/>
          <w:color w:val="00B050"/>
          <w:lang w:val="ka-GE"/>
        </w:rPr>
        <w:t>+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7154AD">
        <w:rPr>
          <w:rFonts w:ascii="Sylfaen" w:hAnsi="Sylfaen"/>
          <w:color w:val="00B050"/>
          <w:lang w:val="ka-GE"/>
        </w:rPr>
        <w:t xml:space="preserve">კონტრაქტები გაყოფილი უნდა იყოს განმახორციელებლების მიხედვით </w:t>
      </w:r>
      <w:r w:rsidRPr="007154AD">
        <w:rPr>
          <w:rFonts w:ascii="Sylfaen" w:hAnsi="Sylfaen"/>
          <w:b/>
          <w:bCs/>
          <w:color w:val="00B050"/>
        </w:rPr>
        <w:t xml:space="preserve">[5]  </w:t>
      </w:r>
      <w:r w:rsidRPr="007154AD">
        <w:rPr>
          <w:rFonts w:ascii="Sylfaen" w:hAnsi="Sylfaen"/>
          <w:color w:val="00B050"/>
          <w:lang w:val="ka-GE"/>
        </w:rPr>
        <w:t>ცხრილი - BL_</w:t>
      </w:r>
      <w:r w:rsidRPr="007154AD">
        <w:rPr>
          <w:color w:val="00B050"/>
          <w:lang w:val="ka-GE"/>
        </w:rPr>
        <w:t xml:space="preserve"> </w:t>
      </w:r>
      <w:r w:rsidRPr="007154AD">
        <w:rPr>
          <w:rFonts w:ascii="Sylfaen" w:hAnsi="Sylfaen"/>
          <w:color w:val="00B050"/>
          <w:lang w:val="ka-GE"/>
        </w:rPr>
        <w:t>BL_Contracts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7154AD">
        <w:rPr>
          <w:rFonts w:ascii="Sylfaen" w:hAnsi="Sylfaen"/>
          <w:color w:val="00B050"/>
          <w:lang w:val="ka-GE"/>
        </w:rPr>
        <w:t xml:space="preserve">რეესტრები  გაყოფილი უნდა იყოს განმახორციელებლების მიხედვით </w:t>
      </w:r>
      <w:r w:rsidRPr="007154AD">
        <w:rPr>
          <w:rFonts w:ascii="Sylfaen" w:hAnsi="Sylfaen"/>
          <w:b/>
          <w:bCs/>
          <w:color w:val="00B050"/>
        </w:rPr>
        <w:t xml:space="preserve">[7] </w:t>
      </w:r>
      <w:r w:rsidRPr="007154AD">
        <w:rPr>
          <w:rFonts w:ascii="Sylfaen" w:hAnsi="Sylfaen"/>
          <w:color w:val="00B050"/>
          <w:lang w:val="ka-GE"/>
        </w:rPr>
        <w:t>ცხრილი - BL_Batches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8B31D8">
        <w:rPr>
          <w:rFonts w:ascii="Sylfaen" w:hAnsi="Sylfaen"/>
          <w:color w:val="00B050"/>
          <w:lang w:val="ka-GE"/>
        </w:rPr>
        <w:t xml:space="preserve">ვალდებულებები გაყოფილი უნდა იყოს განმახორციელებლების მიხედვით </w:t>
      </w:r>
      <w:r w:rsidRPr="008B31D8">
        <w:rPr>
          <w:rFonts w:ascii="Sylfaen" w:hAnsi="Sylfaen"/>
          <w:b/>
          <w:bCs/>
          <w:color w:val="00B050"/>
        </w:rPr>
        <w:t>[8]  </w:t>
      </w:r>
      <w:r w:rsidRPr="008B31D8">
        <w:rPr>
          <w:rFonts w:ascii="Sylfaen" w:hAnsi="Sylfaen"/>
          <w:color w:val="00B050"/>
          <w:lang w:val="ka-GE"/>
        </w:rPr>
        <w:t>ცხრილი -</w:t>
      </w:r>
      <w:r w:rsidRPr="008B31D8">
        <w:rPr>
          <w:rFonts w:ascii="Sylfaen" w:hAnsi="Sylfaen"/>
          <w:color w:val="00B050"/>
        </w:rPr>
        <w:t>BL_Liabilities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Pr="008B31D8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 w:rsidRPr="008B31D8">
        <w:rPr>
          <w:rFonts w:ascii="Sylfaen" w:hAnsi="Sylfaen"/>
          <w:color w:val="00B050"/>
          <w:lang w:val="ka-GE"/>
        </w:rPr>
        <w:t xml:space="preserve">საგადახდო მოთხოვნები გაყოფილი უნდა იყოს განმახორციელებლების მიხედვით </w:t>
      </w:r>
      <w:r w:rsidRPr="008B31D8">
        <w:rPr>
          <w:rFonts w:ascii="Sylfaen" w:hAnsi="Sylfaen"/>
          <w:b/>
          <w:bCs/>
          <w:color w:val="00B050"/>
        </w:rPr>
        <w:t xml:space="preserve">[9]  </w:t>
      </w:r>
      <w:r w:rsidRPr="008B31D8">
        <w:rPr>
          <w:rFonts w:ascii="Sylfaen" w:hAnsi="Sylfaen"/>
          <w:color w:val="00B050"/>
          <w:lang w:val="ka-GE"/>
        </w:rPr>
        <w:t>ცხრილი -</w:t>
      </w:r>
      <w:r w:rsidRPr="008B31D8">
        <w:rPr>
          <w:rFonts w:ascii="Sylfaen" w:hAnsi="Sylfaen"/>
          <w:color w:val="00B050"/>
        </w:rPr>
        <w:t xml:space="preserve"> BL_PaymentOrders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Pr="007154AD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  <w:r>
        <w:rPr>
          <w:rFonts w:ascii="Sylfaen" w:hAnsi="Sylfaen"/>
          <w:color w:val="00B050"/>
          <w:lang w:val="ka-GE"/>
        </w:rPr>
        <w:t>(ყველგან )</w:t>
      </w: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00B050"/>
          <w:lang w:val="ka-GE"/>
        </w:rPr>
      </w:pPr>
    </w:p>
    <w:p w:rsidR="006F12BE" w:rsidRDefault="006F12BE" w:rsidP="006F12BE">
      <w:pPr>
        <w:pStyle w:val="a3"/>
        <w:spacing w:after="0" w:line="240" w:lineRule="auto"/>
        <w:ind w:left="360"/>
        <w:contextualSpacing w:val="0"/>
        <w:rPr>
          <w:rFonts w:ascii="Sylfaen" w:hAnsi="Sylfaen"/>
          <w:color w:val="FF0000"/>
          <w:lang w:val="ka-GE"/>
        </w:rPr>
      </w:pPr>
      <w:r w:rsidRPr="002F3956">
        <w:rPr>
          <w:rFonts w:ascii="Sylfaen" w:hAnsi="Sylfaen"/>
          <w:color w:val="FF0000"/>
          <w:lang w:val="ka-GE"/>
        </w:rPr>
        <w:lastRenderedPageBreak/>
        <w:t>სხვა ქვეკომპონენტებიც გამოიტანა</w:t>
      </w:r>
      <w:r>
        <w:rPr>
          <w:rFonts w:ascii="Sylfaen" w:hAnsi="Sylfaen"/>
          <w:color w:val="FF0000"/>
          <w:lang w:val="ka-GE"/>
        </w:rPr>
        <w:t xml:space="preserve"> ფილტრში</w:t>
      </w:r>
    </w:p>
    <w:p w:rsidR="006F12BE" w:rsidRDefault="006F12BE" w:rsidP="006F12BE">
      <w:pPr>
        <w:rPr>
          <w:rFonts w:ascii="Sylfaen" w:hAnsi="Sylfaen"/>
          <w:color w:val="FF0000"/>
          <w:lang w:val="ka-GE"/>
        </w:rPr>
      </w:pPr>
      <w:r>
        <w:rPr>
          <w:noProof/>
          <w:lang w:eastAsia="ru-RU"/>
        </w:rPr>
        <w:drawing>
          <wp:inline distT="0" distB="0" distL="0" distR="0" wp14:anchorId="5060DA91" wp14:editId="2EADBF19">
            <wp:extent cx="3856383" cy="250432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9046" cy="250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BE" w:rsidRDefault="006F12BE" w:rsidP="003F336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AD414A">
        <w:rPr>
          <w:rFonts w:ascii="Sylfaen" w:hAnsi="Sylfaen"/>
          <w:lang w:val="ka-GE"/>
        </w:rPr>
        <w:t>ფინანსური ერთეულის რეგისტრაცია</w:t>
      </w:r>
    </w:p>
    <w:p w:rsidR="006F12BE" w:rsidRPr="001A5EA8" w:rsidRDefault="006F12BE" w:rsidP="003F3364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color w:val="00B050"/>
          <w:lang w:val="ka-GE"/>
        </w:rPr>
      </w:pPr>
      <w:r w:rsidRPr="001A5EA8">
        <w:rPr>
          <w:rFonts w:ascii="Sylfaen" w:hAnsi="Sylfaen"/>
          <w:color w:val="00B050"/>
          <w:lang w:val="ka-GE"/>
        </w:rPr>
        <w:t>ასაკობრივი ჯგუფის კატეგორიების და ჯგუფის გაყოფა</w:t>
      </w:r>
    </w:p>
    <w:p w:rsidR="006F12BE" w:rsidRPr="001A5EA8" w:rsidRDefault="006F12BE" w:rsidP="003F3364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color w:val="00B050"/>
          <w:lang w:val="ka-GE"/>
        </w:rPr>
      </w:pPr>
      <w:r w:rsidRPr="001A5EA8">
        <w:rPr>
          <w:rFonts w:ascii="Sylfaen" w:hAnsi="Sylfaen"/>
          <w:color w:val="00B050"/>
          <w:lang w:val="ka-GE"/>
        </w:rPr>
        <w:t>ნოზოლოგიების დაყოფა</w:t>
      </w:r>
    </w:p>
    <w:p w:rsidR="006F12BE" w:rsidRPr="001A5EA8" w:rsidRDefault="006F12BE" w:rsidP="003F3364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color w:val="00B050"/>
          <w:lang w:val="ka-GE"/>
        </w:rPr>
      </w:pPr>
      <w:r w:rsidRPr="001A5EA8">
        <w:rPr>
          <w:rFonts w:ascii="Sylfaen" w:hAnsi="Sylfaen"/>
          <w:color w:val="00B050"/>
          <w:lang w:val="ka-GE"/>
        </w:rPr>
        <w:t>სატარიფო ზონები  გაყოფა</w:t>
      </w:r>
    </w:p>
    <w:p w:rsidR="006F12BE" w:rsidRDefault="006F12BE" w:rsidP="003F3364">
      <w:pPr>
        <w:pStyle w:val="a3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color w:val="00B050"/>
          <w:lang w:val="ka-GE"/>
        </w:rPr>
      </w:pPr>
      <w:r w:rsidRPr="002B1324">
        <w:rPr>
          <w:rFonts w:ascii="Sylfaen" w:hAnsi="Sylfaen"/>
          <w:color w:val="00B050"/>
          <w:lang w:val="ka-GE"/>
        </w:rPr>
        <w:t>ატრიბუტების გაყოფა</w:t>
      </w:r>
    </w:p>
    <w:p w:rsidR="006F12BE" w:rsidRDefault="006F12BE" w:rsidP="003F336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0B050"/>
          <w:lang w:val="ka-GE"/>
        </w:rPr>
      </w:pPr>
      <w:r w:rsidRPr="003100A3">
        <w:rPr>
          <w:rFonts w:ascii="Sylfaen" w:hAnsi="Sylfaen"/>
          <w:color w:val="00B050"/>
          <w:lang w:val="ka-GE"/>
        </w:rPr>
        <w:t>ლიმიტების რედაქტირება</w:t>
      </w:r>
      <w:r w:rsidRPr="003100A3">
        <w:rPr>
          <w:rFonts w:ascii="Sylfaen" w:hAnsi="Sylfaen"/>
          <w:color w:val="00B050"/>
        </w:rPr>
        <w:t xml:space="preserve"> - </w:t>
      </w:r>
      <w:r w:rsidRPr="003100A3">
        <w:rPr>
          <w:rFonts w:ascii="Sylfaen" w:hAnsi="Sylfaen"/>
          <w:color w:val="00B050"/>
          <w:lang w:val="ka-GE"/>
        </w:rPr>
        <w:t>გასაყოფია ყველაფერი მანდ</w:t>
      </w:r>
    </w:p>
    <w:p w:rsidR="006F12BE" w:rsidRPr="00CD42BD" w:rsidRDefault="006F12BE" w:rsidP="003F3364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0B050"/>
          <w:lang w:val="ka-GE"/>
        </w:rPr>
      </w:pPr>
      <w:r>
        <w:rPr>
          <w:rFonts w:ascii="Sylfaen" w:hAnsi="Sylfaen"/>
          <w:color w:val="00B050"/>
          <w:lang w:val="ka-GE"/>
        </w:rPr>
        <w:t xml:space="preserve">ფინანსური ერთეულის რეგისტრაცია </w:t>
      </w:r>
      <w:r>
        <w:rPr>
          <w:rFonts w:ascii="Sylfaen" w:hAnsi="Sylfaen"/>
          <w:color w:val="00B050"/>
          <w:lang w:val="en-US"/>
        </w:rPr>
        <w:t xml:space="preserve">NCDC </w:t>
      </w:r>
    </w:p>
    <w:p w:rsidR="006F12BE" w:rsidRPr="003F3364" w:rsidRDefault="006F12BE" w:rsidP="003F3364">
      <w:pPr>
        <w:spacing w:after="0" w:line="240" w:lineRule="auto"/>
        <w:rPr>
          <w:rFonts w:ascii="Sylfaen" w:hAnsi="Sylfaen"/>
          <w:color w:val="00B050"/>
          <w:lang w:val="en-US"/>
        </w:rPr>
      </w:pPr>
    </w:p>
    <w:p w:rsidR="006F12BE" w:rsidRDefault="006F12BE" w:rsidP="006F12BE">
      <w:pPr>
        <w:spacing w:after="0" w:line="240" w:lineRule="auto"/>
        <w:rPr>
          <w:rFonts w:ascii="Sylfaen" w:hAnsi="Sylfaen"/>
          <w:color w:val="00B050"/>
          <w:lang w:val="en-US"/>
        </w:rPr>
      </w:pPr>
    </w:p>
    <w:p w:rsidR="006F12BE" w:rsidRDefault="006F12BE" w:rsidP="006F12BE">
      <w:pPr>
        <w:spacing w:after="0" w:line="240" w:lineRule="auto"/>
        <w:rPr>
          <w:rFonts w:ascii="Sylfaen" w:hAnsi="Sylfaen"/>
          <w:color w:val="00B050"/>
          <w:lang w:val="en-US"/>
        </w:rPr>
      </w:pPr>
    </w:p>
    <w:p w:rsidR="006F12BE" w:rsidRDefault="006F12BE" w:rsidP="006F12BE">
      <w:pPr>
        <w:spacing w:after="0" w:line="240" w:lineRule="auto"/>
        <w:rPr>
          <w:rFonts w:ascii="Sylfaen" w:hAnsi="Sylfaen"/>
          <w:color w:val="00B050"/>
          <w:lang w:val="en-US"/>
        </w:rPr>
      </w:pPr>
      <w:r>
        <w:rPr>
          <w:noProof/>
          <w:lang w:eastAsia="ru-RU"/>
        </w:rPr>
        <w:drawing>
          <wp:inline distT="0" distB="0" distL="0" distR="0" wp14:anchorId="75A5712F" wp14:editId="66F42011">
            <wp:extent cx="5940425" cy="3374559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364" w:rsidRDefault="003F3364" w:rsidP="006F12BE">
      <w:pPr>
        <w:spacing w:after="0" w:line="240" w:lineRule="auto"/>
        <w:rPr>
          <w:rFonts w:ascii="Sylfaen" w:hAnsi="Sylfaen"/>
          <w:color w:val="00B050"/>
          <w:lang w:val="en-US"/>
        </w:rPr>
      </w:pPr>
    </w:p>
    <w:p w:rsidR="003F3364" w:rsidRDefault="003F3364" w:rsidP="003F3364">
      <w:pPr>
        <w:pStyle w:val="a3"/>
        <w:numPr>
          <w:ilvl w:val="0"/>
          <w:numId w:val="1"/>
        </w:numPr>
        <w:spacing w:after="0" w:line="240" w:lineRule="auto"/>
        <w:rPr>
          <w:rFonts w:ascii="Sylfaen" w:hAnsi="Sylfaen"/>
          <w:color w:val="00B050"/>
          <w:lang w:val="en-US"/>
        </w:rPr>
      </w:pPr>
      <w:hyperlink r:id="rId10" w:history="1">
        <w:r w:rsidRPr="009525C3">
          <w:rPr>
            <w:rStyle w:val="a6"/>
            <w:rFonts w:ascii="Sylfaen" w:hAnsi="Sylfaen"/>
            <w:lang w:val="en-US"/>
          </w:rPr>
          <w:t>http://localhost/Hmis.Billing.Web/Pages/Budget/Financing%20Items/List.aspx?BudgetHierarchyID=3340435a-8a51-4c65-8971-410d992bae83&amp;PageSessionID=21059e46-dba3-4b90-89c5-292cbd413de8</w:t>
        </w:r>
      </w:hyperlink>
    </w:p>
    <w:p w:rsidR="003F3364" w:rsidRPr="003F3364" w:rsidRDefault="003F3364" w:rsidP="003F3364">
      <w:pPr>
        <w:spacing w:after="0" w:line="240" w:lineRule="auto"/>
        <w:rPr>
          <w:rFonts w:ascii="Sylfaen" w:hAnsi="Sylfaen"/>
          <w:color w:val="00B050"/>
          <w:lang w:val="ka-GE"/>
        </w:rPr>
      </w:pPr>
      <w:r>
        <w:rPr>
          <w:rFonts w:ascii="Sylfaen" w:hAnsi="Sylfaen"/>
          <w:color w:val="00B050"/>
          <w:lang w:val="ka-GE"/>
        </w:rPr>
        <w:t>მონაცემები არ გამოდის როცა ეკონომიკურით ვარ შესული.</w:t>
      </w:r>
    </w:p>
    <w:p w:rsidR="0065553C" w:rsidRPr="003F3364" w:rsidRDefault="003F3364">
      <w:pPr>
        <w:rPr>
          <w:rFonts w:ascii="Sylfaen" w:hAnsi="Sylfaen"/>
          <w:lang w:val="ka-GE"/>
        </w:rPr>
      </w:pPr>
      <w:bookmarkStart w:id="0" w:name="_GoBack"/>
      <w:bookmarkEnd w:id="0"/>
    </w:p>
    <w:sectPr w:rsidR="0065553C" w:rsidRPr="003F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2A48"/>
    <w:multiLevelType w:val="hybridMultilevel"/>
    <w:tmpl w:val="909ACE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B72CAC"/>
    <w:multiLevelType w:val="hybridMultilevel"/>
    <w:tmpl w:val="1D78E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BE"/>
    <w:rsid w:val="003F3364"/>
    <w:rsid w:val="006F12BE"/>
    <w:rsid w:val="008D5022"/>
    <w:rsid w:val="00B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2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3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2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F3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ocalhost/Hmis.Billing.Web/Pages/Budget/Financing%20Items/List.aspx?BudgetHierarchyID=3340435a-8a51-4c65-8971-410d992bae83&amp;PageSessionID=21059e46-dba3-4b90-89c5-292cbd413de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2014-01-24T10:50:00Z</dcterms:created>
  <dcterms:modified xsi:type="dcterms:W3CDTF">2014-01-24T10:54:00Z</dcterms:modified>
</cp:coreProperties>
</file>